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</w:rPr>
        <w:drawing>
          <wp:inline distT="0" distB="0" distL="0" distR="0">
            <wp:extent cx="1488769" cy="386146"/>
            <wp:effectExtent l="0" t="0" r="0" b="0"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3223" r="0" b="13223"/>
                    <a:stretch>
                      <a:fillRect/>
                    </a:stretch>
                  </pic:blipFill>
                  <pic:spPr>
                    <a:xfrm>
                      <a:off x="0" y="0"/>
                      <a:ext cx="1488769" cy="386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jc w:val="right"/>
        <w:rPr>
          <w:b w:val="1"/>
          <w:bCs w:val="1"/>
        </w:rPr>
      </w:pPr>
    </w:p>
    <w:p>
      <w:pPr>
        <w:pStyle w:val="Body"/>
        <w:jc w:val="right"/>
        <w:rPr>
          <w:b w:val="1"/>
          <w:bCs w:val="1"/>
        </w:rPr>
      </w:pPr>
    </w:p>
    <w:p>
      <w:pPr>
        <w:pStyle w:val="Body"/>
        <w:jc w:val="right"/>
        <w:rPr>
          <w:rFonts w:ascii="Vinci Sans" w:cs="Vinci Sans" w:hAnsi="Vinci Sans" w:eastAsia="Vinci Sans"/>
          <w:b w:val="1"/>
          <w:bCs w:val="1"/>
        </w:rPr>
      </w:pP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Communiqu</w:t>
      </w: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 xml:space="preserve">é </w:t>
      </w: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de presse</w:t>
      </w:r>
    </w:p>
    <w:p>
      <w:pPr>
        <w:pStyle w:val="Body"/>
        <w:jc w:val="right"/>
        <w:rPr>
          <w:sz w:val="24"/>
          <w:szCs w:val="24"/>
        </w:rPr>
      </w:pP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Bruxelles, le 18 janvier 2021</w:t>
      </w:r>
    </w:p>
    <w:p>
      <w:pPr>
        <w:pStyle w:val="Body"/>
        <w:jc w:val="center"/>
        <w:rPr>
          <w:rFonts w:ascii="Vinci Sans" w:cs="Vinci Sans" w:hAnsi="Vinci Sans" w:eastAsia="Vinci Sans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Vinci Sans" w:cs="Vinci Sans" w:hAnsi="Vinci Sans" w:eastAsia="Vinci Sans"/>
          <w:b w:val="1"/>
          <w:bCs w:val="1"/>
        </w:rPr>
      </w:pP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VINCI Energies Belgium acquiert Legendre Conveyors situ</w:t>
      </w: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rtl w:val="0"/>
        </w:rPr>
        <w:t xml:space="preserve">e </w:t>
      </w: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>à</w:t>
      </w:r>
      <w:r>
        <w:rPr>
          <w:rFonts w:ascii="Vinci Sans" w:cs="Vinci Sans" w:hAnsi="Vinci Sans" w:eastAsia="Vinci Sans"/>
          <w:b w:val="1"/>
          <w:bCs w:val="1"/>
          <w:rtl w:val="0"/>
          <w:lang w:val="fr-FR"/>
        </w:rPr>
        <w:t xml:space="preserve"> Grand-Bigard </w:t>
      </w:r>
    </w:p>
    <w:p>
      <w:pPr>
        <w:pStyle w:val="Body"/>
      </w:pPr>
    </w:p>
    <w:p>
      <w:pPr>
        <w:pStyle w:val="Body"/>
        <w:spacing w:after="160" w:line="259" w:lineRule="auto"/>
        <w:rPr>
          <w:rFonts w:ascii="Vinci Sans" w:cs="Vinci Sans" w:hAnsi="Vinci Sans" w:eastAsia="Vinci Sans"/>
          <w:b w:val="1"/>
          <w:bCs w:val="1"/>
          <w:sz w:val="20"/>
          <w:szCs w:val="20"/>
        </w:rPr>
      </w:pP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de-DE"/>
        </w:rPr>
        <w:t>VINCI Energies Belgium rach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te l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entreprise familiale Legendre Conveyors situ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</w:rPr>
        <w:t xml:space="preserve">e 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à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 xml:space="preserve"> Grand-Bigard, sp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cialis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</w:rPr>
        <w:t>e en syst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mes de transport et gestion de lignes. Elle fait d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sormais partie de la division Industry &amp; Software Solutions de VINCI Energies Belgium. Avec cette acquisition, VINCI Energies Belgium renforce tant sa position sur le march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des boissons que son expertise dans les lignes de remplissage et d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it-IT"/>
        </w:rPr>
        <w:t xml:space="preserve">emballage. </w:t>
      </w:r>
    </w:p>
    <w:p>
      <w:pPr>
        <w:pStyle w:val="Body"/>
        <w:spacing w:after="160" w:line="256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La famille Legendre est active depuis plus de septante ans dans le secteur des syst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mes de convoyage. Aujourd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hui,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entreprise familiale emploie 28 personnes sur son site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Grand-Bigard et ex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cute des projets dans plus de vingt pays. Legendre est sp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cialis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e dans le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veloppement de nouvelles lignes de production et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adaptation ou la revalorisation de lignes de production, principalement pour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industrie des boissons.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entreprise compte parmi ses clients des noms importants dans le secteur des boissons.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Avec cette acquisition, VINCI Energies Belgium consolide sa position forte en tant qu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</w:rPr>
        <w:t>int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grateur dans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industrie laiti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re et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tend en outre son expertise au secteur des brasseries et boissons rafra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î</w:t>
      </w:r>
      <w:r>
        <w:rPr>
          <w:rFonts w:ascii="Vinci Sans" w:cs="Vinci Sans" w:hAnsi="Vinci Sans" w:eastAsia="Vinci Sans"/>
          <w:sz w:val="20"/>
          <w:szCs w:val="20"/>
          <w:rtl w:val="0"/>
          <w:lang w:val="pt-PT"/>
        </w:rPr>
        <w:t xml:space="preserve">chissantes. 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pt-PT"/>
        </w:rPr>
        <w:t>Compl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it-IT"/>
        </w:rPr>
        <w:t>mentarit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b w:val="1"/>
          <w:bCs w:val="1"/>
          <w:sz w:val="20"/>
          <w:szCs w:val="20"/>
        </w:rPr>
        <w:br w:type="textWrapping"/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Les comp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tences de Legendre viennent compl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ter les activit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s de VINCI Energies Belgium dans deux domaines. D'une part, le m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canisme et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offre de machines sont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largis et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autre part, ce rachat signifie un renforcement de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it-IT"/>
        </w:rPr>
        <w:t xml:space="preserve">offre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sz w:val="20"/>
          <w:szCs w:val="20"/>
          <w:rtl w:val="0"/>
          <w:lang w:val="en-US"/>
        </w:rPr>
        <w:t>end of line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 »</w:t>
      </w:r>
      <w:r>
        <w:rPr>
          <w:rFonts w:ascii="Vinci Sans" w:cs="Vinci Sans" w:hAnsi="Vinci Sans" w:eastAsia="Vinci Sans"/>
          <w:sz w:val="20"/>
          <w:szCs w:val="20"/>
          <w:rtl w:val="0"/>
        </w:rPr>
        <w:t xml:space="preserve">. 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Marc Lemaire, Managing Director de VINCI Energies Belgium, commente cette nouvelle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</w:rPr>
        <w:t>tape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 </w:t>
      </w:r>
      <w:r>
        <w:rPr>
          <w:rFonts w:ascii="Vinci Sans" w:cs="Vinci Sans" w:hAnsi="Vinci Sans" w:eastAsia="Vinci Sans"/>
          <w:sz w:val="20"/>
          <w:szCs w:val="20"/>
          <w:rtl w:val="0"/>
        </w:rPr>
        <w:t xml:space="preserve">: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Avec nos Business Units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Actemium et l'acquisition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AVT en 2018, qui se sp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cialise dans le transport lourd, la construction de machines, les projets de robotique et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>int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gration sur mesure, nous avons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velopp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ces derni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res ann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es une offre compl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te pour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automatisation des processus et des lignes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emballage. Avec l'acquisition de Legendre, nous franchissons une nouvelle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tape dans le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veloppement de notre offre logistique. Le potentiel est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norme. Chez VINCI Energies Belgium, nous croyons fermement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>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interaction entre nos diff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rentes marques, dont Legendre fait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sormais aussi partie.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»</w:t>
      </w:r>
      <w:r>
        <w:rPr>
          <w:rFonts w:ascii="Vinci Sans" w:cs="Vinci Sans" w:hAnsi="Vinci Sans" w:eastAsia="Vinci Sans"/>
          <w:sz w:val="20"/>
          <w:szCs w:val="20"/>
          <w:rtl w:val="0"/>
        </w:rPr>
        <w:t xml:space="preserve"> 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en-US"/>
        </w:rPr>
        <w:t xml:space="preserve">Luc Clabout, Managing Director de la division Industry &amp; Software Solutions chez VINCI Energies Belgium, est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galement ravi de cette acquisition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 </w:t>
      </w:r>
      <w:r>
        <w:rPr>
          <w:rFonts w:ascii="Vinci Sans" w:cs="Vinci Sans" w:hAnsi="Vinci Sans" w:eastAsia="Vinci Sans"/>
          <w:sz w:val="20"/>
          <w:szCs w:val="20"/>
          <w:rtl w:val="0"/>
        </w:rPr>
        <w:t xml:space="preserve">: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L'acquisition de Legendre s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inscrit dans notre strat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gie visant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proposer une offre one-stop-shop pour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industrie des boissons, o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ù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nous combinons nos comp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tences en m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canique, en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lectronique, en automatisation et en informatique industrielle avec des connaissances pouss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es des processus de production et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entreprise. La devise de Legendre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 xml:space="preserve">: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en-US"/>
        </w:rPr>
        <w:t xml:space="preserve">We convey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–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en-US"/>
        </w:rPr>
        <w:t xml:space="preserve">you relax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»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>refl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te la m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me vision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: une approche orient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 client avec une expertise avanc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 dans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en-US"/>
        </w:rPr>
        <w:t xml:space="preserve">aspect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‘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en-US"/>
        </w:rPr>
        <w:t>end of line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 xml:space="preserve">.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»  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Perspectives d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avenir</w:t>
      </w:r>
      <w:r>
        <w:rPr>
          <w:rFonts w:ascii="Vinci Sans" w:cs="Vinci Sans" w:hAnsi="Vinci Sans" w:eastAsia="Vinci Sans"/>
          <w:b w:val="1"/>
          <w:bCs w:val="1"/>
          <w:sz w:val="20"/>
          <w:szCs w:val="20"/>
        </w:rPr>
        <w:br w:type="textWrapping"/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Legendre Conveyors envisage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avenir de mani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it-IT"/>
        </w:rPr>
        <w:t>re positive. Apr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s sa reprise par VINCI Energies Belgium,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entreprise continue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exister comme une Business Unit autonome et conserve son site actuel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Grand-Bigard. Olivier Legendre dirigera cette nouvelle Business Unit au sein de la division Industry &amp; Software Solutions de VINCI Energies Belgium avec son fr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re Mathieu. Olivier Legendre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 </w:t>
      </w:r>
      <w:r>
        <w:rPr>
          <w:rFonts w:ascii="Vinci Sans" w:cs="Vinci Sans" w:hAnsi="Vinci Sans" w:eastAsia="Vinci Sans"/>
          <w:sz w:val="20"/>
          <w:szCs w:val="20"/>
          <w:rtl w:val="0"/>
        </w:rPr>
        <w:t xml:space="preserve">: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Sous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>aile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un grand acteur comme VINCI Energies, nous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crirons ensemble un nouveau chapitre pour notre entreprise qui conna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î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t une longue tradition.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expertise que nous pouvons d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ployer ensemble va assur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ment renforcer notre position.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»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b w:val="1"/>
          <w:bCs w:val="1"/>
          <w:sz w:val="20"/>
          <w:szCs w:val="20"/>
        </w:rPr>
      </w:pP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Ce rachat s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inscrit enti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rement dans notre strat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gie de croissance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»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, ajoute Marc Lemaire.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« 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Nous sommes constamment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la recherche de synergies avec nos activit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pt-PT"/>
        </w:rPr>
        <w:t>s existantes. Gr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â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</w:rPr>
        <w:t xml:space="preserve">ce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cette compl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it-IT"/>
        </w:rPr>
        <w:t>mentarit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, nous pouvons plus que jamais nous profiler comme un partenaire unique pour nos clients, dans ce cas principalement dans l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industrie des boissons.</w:t>
      </w:r>
      <w:r>
        <w:rPr>
          <w:rFonts w:ascii="Vinci Sans" w:cs="Vinci Sans" w:hAnsi="Vinci Sans" w:eastAsia="Vinci Sans"/>
          <w:i w:val="1"/>
          <w:iCs w:val="1"/>
          <w:sz w:val="20"/>
          <w:szCs w:val="20"/>
          <w:rtl w:val="0"/>
          <w:lang w:val="fr-FR"/>
        </w:rPr>
        <w:t> »</w:t>
      </w:r>
    </w:p>
    <w:p>
      <w:pPr>
        <w:pStyle w:val="Body"/>
        <w:spacing w:after="160" w:line="259" w:lineRule="auto"/>
        <w:rPr>
          <w:rFonts w:ascii="Vinci Sans" w:cs="Vinci Sans" w:hAnsi="Vinci Sans" w:eastAsia="Vinci Sans"/>
          <w:sz w:val="20"/>
          <w:szCs w:val="20"/>
        </w:rPr>
      </w:pPr>
    </w:p>
    <w:p>
      <w:pPr>
        <w:pStyle w:val="Body"/>
        <w:jc w:val="both"/>
        <w:rPr>
          <w:rFonts w:ascii="Vinci Sans" w:cs="Vinci Sans" w:hAnsi="Vinci Sans" w:eastAsia="Vinci Sans"/>
          <w:b w:val="1"/>
          <w:bCs w:val="1"/>
          <w:sz w:val="20"/>
          <w:szCs w:val="20"/>
        </w:rPr>
      </w:pP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b w:val="1"/>
          <w:bCs w:val="1"/>
          <w:sz w:val="20"/>
          <w:szCs w:val="20"/>
          <w:rtl w:val="0"/>
          <w:lang w:val="fr-FR"/>
        </w:rPr>
        <w:t>propos de VINCI Energies en Belgique</w:t>
      </w:r>
    </w:p>
    <w:p>
      <w:pPr>
        <w:pStyle w:val="Body"/>
        <w:jc w:val="both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Connexion, performance, efficience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</w:rPr>
        <w:t>nerg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tique, datas : dans un monde en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volution permanente, VINCI Energies acc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</w:rPr>
        <w:t>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re le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ploiement des nouvelles technologies pour concr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tiser deux mutations majeures : la transformation num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rique et la transition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</w:rPr>
        <w:t>nerg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tique. Ancr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es dans les territoires, agiles et innovantes, les entreprises de VINCI Energies rendent les infrastructures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nergie, de transport et de communication, les usines, les b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â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timents et les syst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è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mes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information chaque jour plus fiables, plus s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û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rs, plus durables et plus efficients.</w:t>
      </w:r>
    </w:p>
    <w:p>
      <w:pPr>
        <w:pStyle w:val="Body"/>
        <w:jc w:val="both"/>
        <w:rPr>
          <w:rFonts w:ascii="Vinci Sans" w:cs="Vinci Sans" w:hAnsi="Vinci Sans" w:eastAsia="Vinci Sans"/>
          <w:sz w:val="20"/>
          <w:szCs w:val="20"/>
        </w:rPr>
      </w:pPr>
    </w:p>
    <w:p>
      <w:pPr>
        <w:pStyle w:val="Body"/>
        <w:jc w:val="both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En Belgique, VINCI Energies exerce ses activit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s dans l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automatisation industrielle, les infrastructures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nergie, de transport et de communication, les installations techniques du b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â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timent, la protection incendie et le facility management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 xml:space="preserve">à 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travers les marques Actemium, Axians, Cegelec, Omexom et VINCI Facilities, ainsi que diverses marques locales. VINCI Energies Belgium emploie 2.790 collaborateurs et r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é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alise un chiffre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affaires annuel de 565 millions d</w:t>
      </w:r>
      <w:r>
        <w:rPr>
          <w:rFonts w:ascii="Vinci Sans" w:cs="Vinci Sans" w:hAnsi="Vinci Sans" w:eastAsia="Vinci Sans"/>
          <w:sz w:val="20"/>
          <w:szCs w:val="20"/>
          <w:rtl w:val="0"/>
          <w:lang w:val="fr-FR"/>
        </w:rPr>
        <w:t>’</w:t>
      </w:r>
      <w:r>
        <w:rPr>
          <w:rFonts w:ascii="Vinci Sans" w:cs="Vinci Sans" w:hAnsi="Vinci Sans" w:eastAsia="Vinci Sans"/>
          <w:sz w:val="20"/>
          <w:szCs w:val="20"/>
          <w:rtl w:val="0"/>
          <w:lang w:val="pt-PT"/>
        </w:rPr>
        <w:t xml:space="preserve">euros </w:t>
      </w:r>
    </w:p>
    <w:p>
      <w:pPr>
        <w:pStyle w:val="Body"/>
        <w:jc w:val="both"/>
        <w:rPr>
          <w:rFonts w:ascii="Vinci Sans" w:cs="Vinci Sans" w:hAnsi="Vinci Sans" w:eastAsia="Vinci Sans"/>
          <w:sz w:val="20"/>
          <w:szCs w:val="20"/>
        </w:rPr>
      </w:pPr>
      <w:r>
        <w:rPr>
          <w:rFonts w:ascii="Vinci Sans" w:cs="Vinci Sans" w:hAnsi="Vinci Sans" w:eastAsia="Vinci Sans"/>
          <w:sz w:val="20"/>
          <w:szCs w:val="20"/>
          <w:rtl w:val="0"/>
        </w:rPr>
        <w:t>www.vinci-energies.be</w:t>
      </w:r>
    </w:p>
    <w:p>
      <w:pPr>
        <w:pStyle w:val="Body"/>
        <w:jc w:val="both"/>
        <w:rPr>
          <w:rFonts w:ascii="Vinci Sans" w:cs="Vinci Sans" w:hAnsi="Vinci Sans" w:eastAsia="Vinci Sans"/>
          <w:b w:val="1"/>
          <w:bCs w:val="1"/>
          <w:sz w:val="20"/>
          <w:szCs w:val="20"/>
        </w:rPr>
      </w:pPr>
    </w:p>
    <w:p>
      <w:pPr>
        <w:pStyle w:val="Body"/>
        <w:spacing w:line="240" w:lineRule="auto"/>
        <w:rPr>
          <w:rFonts w:ascii="Century Gothic" w:cs="Century Gothic" w:hAnsi="Century Gothic" w:eastAsia="Century Gothic"/>
          <w:outline w:val="0"/>
          <w:color w:val="4f4f4f"/>
          <w:sz w:val="18"/>
          <w:szCs w:val="18"/>
          <w:u w:color="4f4f4f"/>
          <w:shd w:val="clear" w:color="auto" w:fill="ffffff"/>
          <w14:textFill>
            <w14:solidFill>
              <w14:srgbClr w14:val="4F4F4F"/>
            </w14:solidFill>
          </w14:textFill>
        </w:rPr>
      </w:pPr>
    </w:p>
    <w:p>
      <w:pPr>
        <w:pStyle w:val="Body"/>
        <w:spacing w:line="240" w:lineRule="auto"/>
        <w:rPr>
          <w:rFonts w:ascii="Century Gothic" w:cs="Century Gothic" w:hAnsi="Century Gothic" w:eastAsia="Century Gothic"/>
          <w:outline w:val="0"/>
          <w:color w:val="4f4f4f"/>
          <w:sz w:val="18"/>
          <w:szCs w:val="18"/>
          <w:u w:color="4f4f4f"/>
          <w:shd w:val="clear" w:color="auto" w:fill="ffffff"/>
          <w14:textFill>
            <w14:solidFill>
              <w14:srgbClr w14:val="4F4F4F"/>
            </w14:solidFill>
          </w14:textFill>
        </w:rPr>
      </w:pPr>
    </w:p>
    <w:p>
      <w:pPr>
        <w:pStyle w:val="Body"/>
        <w:spacing w:before="240"/>
        <w:jc w:val="both"/>
        <w:rPr>
          <w:rFonts w:ascii="Vinci Sans" w:cs="Vinci Sans" w:hAnsi="Vinci Sans" w:eastAsia="Vinci Sans"/>
          <w:b w:val="1"/>
          <w:bCs w:val="1"/>
        </w:rPr>
      </w:pPr>
      <w:r>
        <w:rPr>
          <w:rFonts w:ascii="Vinci Sans" w:cs="Vinci Sans" w:hAnsi="Vinci Sans" w:eastAsia="Vinci Sans"/>
          <w:b w:val="1"/>
          <w:bCs w:val="1"/>
          <w:rtl w:val="0"/>
          <w:lang w:val="en-US"/>
        </w:rPr>
        <w:t>Contact</w:t>
      </w:r>
    </w:p>
    <w:p>
      <w:pPr>
        <w:pStyle w:val="Body"/>
        <w:widowControl w:val="0"/>
        <w:spacing w:line="240" w:lineRule="auto"/>
        <w:rPr>
          <w:rFonts w:ascii="Vinci Sans" w:cs="Vinci Sans" w:hAnsi="Vinci Sans" w:eastAsia="Vinci Sans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spacing w:line="240" w:lineRule="auto"/>
        <w:rPr>
          <w:rFonts w:ascii="Vinci Sans" w:cs="Vinci Sans" w:hAnsi="Vinci Sans" w:eastAsia="Vinci Sans"/>
          <w:b w:val="1"/>
          <w:bCs w:val="1"/>
        </w:rPr>
      </w:pPr>
      <w:r>
        <w:rPr>
          <w:rFonts w:ascii="Vinci Sans" w:cs="Vinci Sans" w:hAnsi="Vinci Sans" w:eastAsia="Vinci Sans"/>
          <w:b w:val="1"/>
          <w:bCs w:val="1"/>
          <w:rtl w:val="0"/>
          <w:lang w:val="de-DE"/>
        </w:rPr>
        <w:t>Industry &amp; Software Solutions</w:t>
        <w:tab/>
        <w:tab/>
        <w:tab/>
        <w:tab/>
        <w:tab/>
        <w:t>VINCI Energies Belgium</w:t>
      </w:r>
    </w:p>
    <w:p>
      <w:pPr>
        <w:pStyle w:val="Body"/>
        <w:widowControl w:val="0"/>
        <w:spacing w:line="240" w:lineRule="auto"/>
        <w:rPr>
          <w:rFonts w:ascii="Vinci Sans" w:cs="Vinci Sans" w:hAnsi="Vinci Sans" w:eastAsia="Vinci Sans"/>
        </w:rPr>
      </w:pPr>
      <w:r>
        <w:rPr>
          <w:rFonts w:ascii="Vinci Sans" w:cs="Vinci Sans" w:hAnsi="Vinci Sans" w:eastAsia="Vinci Sans"/>
          <w:rtl w:val="0"/>
          <w:lang w:val="de-DE"/>
        </w:rPr>
        <w:t>Luc Clabout - +32 477 43 92 17</w:t>
        <w:tab/>
        <w:tab/>
        <w:tab/>
        <w:tab/>
        <w:tab/>
        <w:t>Wendy Verheyden - +32 486 35 54 54</w:t>
      </w:r>
    </w:p>
    <w:p>
      <w:pPr>
        <w:pStyle w:val="Body"/>
        <w:widowControl w:val="0"/>
        <w:spacing w:line="24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"mailto:Luc.clabout@vinci-energies.com"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Luc.clabout@vinci-energies.com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None"/>
          <w:rFonts w:ascii="Vinci Sans" w:cs="Vinci Sans" w:hAnsi="Vinci Sans" w:eastAsia="Vinci Sans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"mailto:wendy.verheyden@vinci-energies.com"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wendy.verheyden@vinci-energies.com</w:t>
      </w:r>
      <w:r>
        <w:rPr/>
        <w:fldChar w:fldCharType="end" w:fldLock="0"/>
      </w:r>
      <w:r>
        <w:rPr>
          <w:rStyle w:val="None"/>
          <w:rFonts w:ascii="Vinci Sans" w:cs="Vinci Sans" w:hAnsi="Vinci Sans" w:eastAsia="Vinci Sans"/>
        </w:rPr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inci San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inci Sans" w:cs="Vinci Sans" w:hAnsi="Vinci Sans" w:eastAsia="Vinci Sans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